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BA" w:rsidRDefault="00FA43BA" w:rsidP="00FA43BA">
      <w:r>
        <w:rPr>
          <w:noProof/>
        </w:rPr>
        <w:drawing>
          <wp:inline distT="0" distB="0" distL="0" distR="0" wp14:anchorId="24599A45" wp14:editId="1C800469">
            <wp:extent cx="5560541" cy="3393989"/>
            <wp:effectExtent l="0" t="0" r="21590" b="1651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A43BA" w:rsidRPr="00620EF4" w:rsidRDefault="00FA43BA" w:rsidP="00FA43BA">
      <w:pPr>
        <w:ind w:left="900" w:hanging="900"/>
        <w:jc w:val="both"/>
        <w:rPr>
          <w:rFonts w:asciiTheme="majorBidi" w:hAnsiTheme="majorBidi" w:cstheme="majorBidi"/>
        </w:rPr>
      </w:pPr>
      <w:r w:rsidRPr="003104C3">
        <w:rPr>
          <w:rFonts w:asciiTheme="majorBidi" w:hAnsiTheme="majorBidi" w:cstheme="majorBidi"/>
          <w:b/>
          <w:bCs/>
        </w:rPr>
        <w:t>Figure 1</w:t>
      </w:r>
      <w:r w:rsidRPr="00620EF4">
        <w:rPr>
          <w:rFonts w:asciiTheme="majorBidi" w:hAnsiTheme="majorBidi" w:cstheme="majorBidi"/>
        </w:rPr>
        <w:t xml:space="preserve">: Antibacterial activity of TTX extracts of liver, skin and muscles isolated from Puffer fish, </w:t>
      </w:r>
      <w:r w:rsidRPr="00620EF4">
        <w:rPr>
          <w:rFonts w:asciiTheme="majorBidi" w:hAnsiTheme="majorBidi" w:cstheme="majorBidi"/>
          <w:i/>
          <w:iCs/>
        </w:rPr>
        <w:t xml:space="preserve">L. </w:t>
      </w:r>
      <w:proofErr w:type="spellStart"/>
      <w:r w:rsidRPr="00620EF4">
        <w:rPr>
          <w:rFonts w:asciiTheme="majorBidi" w:hAnsiTheme="majorBidi" w:cstheme="majorBidi"/>
          <w:i/>
          <w:iCs/>
        </w:rPr>
        <w:t>sceleratus</w:t>
      </w:r>
      <w:proofErr w:type="spellEnd"/>
      <w:r w:rsidRPr="00620EF4">
        <w:rPr>
          <w:rFonts w:asciiTheme="majorBidi" w:hAnsiTheme="majorBidi" w:cstheme="majorBidi"/>
          <w:i/>
          <w:iCs/>
        </w:rPr>
        <w:t xml:space="preserve"> </w:t>
      </w:r>
      <w:r w:rsidRPr="00620EF4">
        <w:rPr>
          <w:rFonts w:asciiTheme="majorBidi" w:hAnsiTheme="majorBidi" w:cstheme="majorBidi"/>
        </w:rPr>
        <w:t>with some gram positive bacteria against</w:t>
      </w:r>
      <w:r w:rsidRPr="00620EF4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Pr="00620EF4">
        <w:rPr>
          <w:rFonts w:asciiTheme="majorBidi" w:hAnsiTheme="majorBidi" w:cstheme="majorBidi"/>
        </w:rPr>
        <w:t>Ampicillin (standard).</w:t>
      </w:r>
    </w:p>
    <w:p w:rsidR="00FA43BA" w:rsidRDefault="00FA43BA" w:rsidP="00FA43BA">
      <w:r>
        <w:rPr>
          <w:noProof/>
        </w:rPr>
        <w:drawing>
          <wp:inline distT="0" distB="0" distL="0" distR="0" wp14:anchorId="76360496" wp14:editId="115AE389">
            <wp:extent cx="5634682" cy="3501081"/>
            <wp:effectExtent l="0" t="0" r="23495" b="2349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A43BA" w:rsidRPr="00620EF4" w:rsidRDefault="00FA43BA" w:rsidP="00FA43BA">
      <w:pPr>
        <w:ind w:left="900" w:hanging="900"/>
        <w:jc w:val="both"/>
        <w:rPr>
          <w:rFonts w:asciiTheme="majorBidi" w:hAnsiTheme="majorBidi" w:cstheme="majorBidi"/>
        </w:rPr>
      </w:pPr>
      <w:r w:rsidRPr="003104C3">
        <w:rPr>
          <w:rFonts w:asciiTheme="majorBidi" w:hAnsiTheme="majorBidi" w:cstheme="majorBidi"/>
          <w:b/>
          <w:bCs/>
        </w:rPr>
        <w:t>Figure 2</w:t>
      </w:r>
      <w:r w:rsidRPr="00620EF4">
        <w:rPr>
          <w:rFonts w:asciiTheme="majorBidi" w:hAnsiTheme="majorBidi" w:cstheme="majorBidi"/>
        </w:rPr>
        <w:t xml:space="preserve">: Antibacterial activity of TTX extracts of liver, skin and muscles isolated from Puffer fish, </w:t>
      </w:r>
      <w:r w:rsidRPr="00620EF4">
        <w:rPr>
          <w:rFonts w:asciiTheme="majorBidi" w:hAnsiTheme="majorBidi" w:cstheme="majorBidi"/>
          <w:i/>
          <w:iCs/>
        </w:rPr>
        <w:t xml:space="preserve">L. </w:t>
      </w:r>
      <w:proofErr w:type="spellStart"/>
      <w:r w:rsidRPr="00620EF4">
        <w:rPr>
          <w:rFonts w:asciiTheme="majorBidi" w:hAnsiTheme="majorBidi" w:cstheme="majorBidi"/>
          <w:i/>
          <w:iCs/>
        </w:rPr>
        <w:t>sceleratus</w:t>
      </w:r>
      <w:proofErr w:type="spellEnd"/>
      <w:r w:rsidRPr="00620EF4">
        <w:rPr>
          <w:rFonts w:asciiTheme="majorBidi" w:hAnsiTheme="majorBidi" w:cstheme="majorBidi"/>
          <w:i/>
          <w:iCs/>
        </w:rPr>
        <w:t xml:space="preserve"> </w:t>
      </w:r>
      <w:r w:rsidRPr="00620EF4">
        <w:rPr>
          <w:rFonts w:asciiTheme="majorBidi" w:hAnsiTheme="majorBidi" w:cstheme="majorBidi"/>
        </w:rPr>
        <w:t xml:space="preserve">with some gram negative bacteria against Gentamycin (standard). </w:t>
      </w:r>
    </w:p>
    <w:p w:rsidR="00FA43BA" w:rsidRDefault="00FA43BA" w:rsidP="00FA43BA">
      <w:r>
        <w:rPr>
          <w:noProof/>
        </w:rPr>
        <w:lastRenderedPageBreak/>
        <w:drawing>
          <wp:inline distT="0" distB="0" distL="0" distR="0" wp14:anchorId="66D7A79A" wp14:editId="7A45BEEB">
            <wp:extent cx="5642919" cy="3402227"/>
            <wp:effectExtent l="0" t="0" r="15240" b="2730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A43BA" w:rsidRDefault="00FA43BA" w:rsidP="00FA43BA">
      <w:pPr>
        <w:ind w:left="900" w:hanging="900"/>
        <w:jc w:val="both"/>
        <w:rPr>
          <w:rFonts w:asciiTheme="majorBidi" w:hAnsiTheme="majorBidi" w:cstheme="majorBidi"/>
        </w:rPr>
      </w:pPr>
      <w:r w:rsidRPr="003104C3">
        <w:rPr>
          <w:rFonts w:asciiTheme="majorBidi" w:hAnsiTheme="majorBidi" w:cstheme="majorBidi"/>
          <w:b/>
          <w:bCs/>
        </w:rPr>
        <w:t>Figure 3</w:t>
      </w:r>
      <w:r w:rsidRPr="00620EF4">
        <w:rPr>
          <w:rFonts w:asciiTheme="majorBidi" w:hAnsiTheme="majorBidi" w:cstheme="majorBidi"/>
        </w:rPr>
        <w:t xml:space="preserve">: Antifungal activity of TTX extracts of liver, skin and muscles isolated from Puffer fish, </w:t>
      </w:r>
      <w:r w:rsidRPr="00620EF4">
        <w:rPr>
          <w:rFonts w:asciiTheme="majorBidi" w:hAnsiTheme="majorBidi" w:cstheme="majorBidi"/>
          <w:i/>
          <w:iCs/>
        </w:rPr>
        <w:t xml:space="preserve">L. </w:t>
      </w:r>
      <w:proofErr w:type="spellStart"/>
      <w:r w:rsidRPr="00620EF4">
        <w:rPr>
          <w:rFonts w:asciiTheme="majorBidi" w:hAnsiTheme="majorBidi" w:cstheme="majorBidi"/>
          <w:i/>
          <w:iCs/>
        </w:rPr>
        <w:t>sceleratus</w:t>
      </w:r>
      <w:proofErr w:type="spellEnd"/>
      <w:r w:rsidRPr="00620EF4">
        <w:rPr>
          <w:rFonts w:asciiTheme="majorBidi" w:hAnsiTheme="majorBidi" w:cstheme="majorBidi"/>
          <w:i/>
          <w:iCs/>
        </w:rPr>
        <w:t xml:space="preserve"> </w:t>
      </w:r>
      <w:r w:rsidRPr="00620EF4">
        <w:rPr>
          <w:rFonts w:asciiTheme="majorBidi" w:hAnsiTheme="majorBidi" w:cstheme="majorBidi"/>
        </w:rPr>
        <w:t>with some fungi strains against fluconazole (standard).</w:t>
      </w:r>
    </w:p>
    <w:p w:rsidR="00FA43BA" w:rsidRDefault="00FA43BA" w:rsidP="00FA43BA">
      <w:bookmarkStart w:id="0" w:name="_GoBack"/>
      <w:bookmarkEnd w:id="0"/>
      <w:r>
        <w:rPr>
          <w:noProof/>
        </w:rPr>
        <w:drawing>
          <wp:inline distT="0" distB="0" distL="0" distR="0" wp14:anchorId="74EC6049" wp14:editId="2B36D6F1">
            <wp:extent cx="5381625" cy="2609849"/>
            <wp:effectExtent l="0" t="0" r="9525" b="1968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A43BA" w:rsidRDefault="00FA43BA" w:rsidP="00FA43BA">
      <w:pPr>
        <w:ind w:left="990" w:hanging="990"/>
        <w:jc w:val="both"/>
        <w:rPr>
          <w:rFonts w:asciiTheme="majorBidi" w:hAnsiTheme="majorBidi" w:cstheme="majorBidi"/>
        </w:rPr>
      </w:pPr>
      <w:r w:rsidRPr="003C27D9">
        <w:rPr>
          <w:rFonts w:asciiTheme="majorBidi" w:hAnsiTheme="majorBidi" w:cstheme="majorBidi"/>
          <w:b/>
          <w:bCs/>
        </w:rPr>
        <w:t>Figure 4</w:t>
      </w:r>
      <w:r w:rsidRPr="00CF6575">
        <w:rPr>
          <w:rFonts w:asciiTheme="majorBidi" w:hAnsiTheme="majorBidi" w:cstheme="majorBidi"/>
        </w:rPr>
        <w:t>: Seasonal TTX levels in different tissues isolated from</w:t>
      </w:r>
      <w:r>
        <w:rPr>
          <w:rFonts w:asciiTheme="majorBidi" w:hAnsiTheme="majorBidi" w:cstheme="majorBidi"/>
        </w:rPr>
        <w:t xml:space="preserve"> males of</w:t>
      </w:r>
      <w:r w:rsidRPr="00CF6575">
        <w:rPr>
          <w:rFonts w:asciiTheme="majorBidi" w:hAnsiTheme="majorBidi" w:cstheme="majorBidi"/>
        </w:rPr>
        <w:t xml:space="preserve"> Puffer fish, </w:t>
      </w:r>
      <w:r w:rsidRPr="00CF6575">
        <w:rPr>
          <w:rFonts w:asciiTheme="majorBidi" w:hAnsiTheme="majorBidi" w:cstheme="majorBidi"/>
          <w:i/>
          <w:iCs/>
        </w:rPr>
        <w:t xml:space="preserve">L. </w:t>
      </w:r>
      <w:proofErr w:type="spellStart"/>
      <w:r w:rsidRPr="00CF6575">
        <w:rPr>
          <w:rFonts w:asciiTheme="majorBidi" w:hAnsiTheme="majorBidi" w:cstheme="majorBidi"/>
          <w:i/>
          <w:iCs/>
        </w:rPr>
        <w:t>sceleratus</w:t>
      </w:r>
      <w:proofErr w:type="spellEnd"/>
      <w:r w:rsidRPr="00CF6575">
        <w:rPr>
          <w:rFonts w:asciiTheme="majorBidi" w:hAnsiTheme="majorBidi" w:cstheme="majorBidi"/>
        </w:rPr>
        <w:t xml:space="preserve"> (µg/g) using LC/MS/MS.</w:t>
      </w:r>
    </w:p>
    <w:p w:rsidR="00FA43BA" w:rsidRDefault="00FA43BA" w:rsidP="00FA43BA">
      <w:r>
        <w:rPr>
          <w:noProof/>
        </w:rPr>
        <w:lastRenderedPageBreak/>
        <w:drawing>
          <wp:inline distT="0" distB="0" distL="0" distR="0" wp14:anchorId="71E0B024" wp14:editId="53D2580D">
            <wp:extent cx="5486400" cy="2744470"/>
            <wp:effectExtent l="0" t="0" r="19050" b="1778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A43BA" w:rsidRDefault="00FA43BA" w:rsidP="00FA43BA">
      <w:pPr>
        <w:ind w:left="990" w:hanging="990"/>
        <w:jc w:val="both"/>
        <w:rPr>
          <w:rFonts w:asciiTheme="majorBidi" w:hAnsiTheme="majorBidi" w:cstheme="majorBidi"/>
        </w:rPr>
      </w:pPr>
      <w:r w:rsidRPr="003C27D9">
        <w:rPr>
          <w:rFonts w:asciiTheme="majorBidi" w:hAnsiTheme="majorBidi" w:cstheme="majorBidi"/>
          <w:b/>
          <w:bCs/>
        </w:rPr>
        <w:t>Figure 5</w:t>
      </w:r>
      <w:r w:rsidRPr="00CF6575">
        <w:rPr>
          <w:rFonts w:asciiTheme="majorBidi" w:hAnsiTheme="majorBidi" w:cstheme="majorBidi"/>
        </w:rPr>
        <w:t>: Seasonal TTX levels in different tissues isolated from</w:t>
      </w:r>
      <w:r>
        <w:rPr>
          <w:rFonts w:asciiTheme="majorBidi" w:hAnsiTheme="majorBidi" w:cstheme="majorBidi"/>
        </w:rPr>
        <w:t xml:space="preserve"> females of</w:t>
      </w:r>
      <w:r w:rsidRPr="00CF6575">
        <w:rPr>
          <w:rFonts w:asciiTheme="majorBidi" w:hAnsiTheme="majorBidi" w:cstheme="majorBidi"/>
        </w:rPr>
        <w:t xml:space="preserve"> Puffer fish, </w:t>
      </w:r>
      <w:r w:rsidRPr="00CF6575">
        <w:rPr>
          <w:rFonts w:asciiTheme="majorBidi" w:hAnsiTheme="majorBidi" w:cstheme="majorBidi"/>
          <w:i/>
          <w:iCs/>
        </w:rPr>
        <w:t xml:space="preserve">L. </w:t>
      </w:r>
      <w:proofErr w:type="spellStart"/>
      <w:r w:rsidRPr="00CF6575">
        <w:rPr>
          <w:rFonts w:asciiTheme="majorBidi" w:hAnsiTheme="majorBidi" w:cstheme="majorBidi"/>
          <w:i/>
          <w:iCs/>
        </w:rPr>
        <w:t>sceleratus</w:t>
      </w:r>
      <w:proofErr w:type="spellEnd"/>
      <w:r w:rsidRPr="00CF6575">
        <w:rPr>
          <w:rFonts w:asciiTheme="majorBidi" w:hAnsiTheme="majorBidi" w:cstheme="majorBidi"/>
        </w:rPr>
        <w:t xml:space="preserve"> (µg/g) using LC/MS/MS.</w:t>
      </w:r>
    </w:p>
    <w:p w:rsidR="00FA43BA" w:rsidRDefault="00FA43BA" w:rsidP="00FA43B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4788D80B" wp14:editId="67D4F85C">
            <wp:extent cx="5486400" cy="239649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3BA" w:rsidRPr="00D64F1A" w:rsidRDefault="00FA43BA" w:rsidP="00FA43BA">
      <w:pPr>
        <w:autoSpaceDE w:val="0"/>
        <w:autoSpaceDN w:val="0"/>
        <w:adjustRightInd w:val="0"/>
        <w:spacing w:after="0"/>
        <w:ind w:left="900" w:hanging="900"/>
        <w:rPr>
          <w:rFonts w:asciiTheme="majorBidi" w:hAnsiTheme="majorBidi" w:cstheme="majorBidi"/>
          <w:b/>
          <w:bCs/>
          <w:u w:val="single"/>
        </w:rPr>
      </w:pPr>
      <w:r w:rsidRPr="004237CB">
        <w:rPr>
          <w:rFonts w:asciiTheme="majorBidi" w:hAnsiTheme="majorBidi" w:cstheme="majorBidi"/>
          <w:b/>
          <w:bCs/>
        </w:rPr>
        <w:t>Figure 6</w:t>
      </w:r>
      <w:r>
        <w:rPr>
          <w:rFonts w:asciiTheme="majorBidi" w:hAnsiTheme="majorBidi" w:cstheme="majorBidi"/>
        </w:rPr>
        <w:t>:</w:t>
      </w:r>
      <w:r w:rsidRPr="00D64F1A">
        <w:rPr>
          <w:rFonts w:asciiTheme="majorBidi" w:hAnsiTheme="majorBidi" w:cstheme="majorBidi"/>
          <w:b/>
          <w:bCs/>
        </w:rPr>
        <w:t xml:space="preserve"> </w:t>
      </w:r>
      <w:r w:rsidRPr="00D64F1A">
        <w:rPr>
          <w:rFonts w:asciiTheme="majorBidi" w:hAnsiTheme="majorBidi" w:cstheme="majorBidi"/>
        </w:rPr>
        <w:t xml:space="preserve">HPLC analysis of TTX in the liver of toxic Puffer fish, </w:t>
      </w:r>
      <w:proofErr w:type="spellStart"/>
      <w:r w:rsidRPr="00D64F1A">
        <w:rPr>
          <w:rFonts w:asciiTheme="majorBidi" w:hAnsiTheme="majorBidi" w:cstheme="majorBidi"/>
          <w:i/>
          <w:iCs/>
        </w:rPr>
        <w:t>Lagocephalus</w:t>
      </w:r>
      <w:proofErr w:type="spellEnd"/>
      <w:r w:rsidRPr="00D64F1A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64F1A">
        <w:rPr>
          <w:rFonts w:asciiTheme="majorBidi" w:hAnsiTheme="majorBidi" w:cstheme="majorBidi"/>
          <w:i/>
          <w:iCs/>
        </w:rPr>
        <w:t>sceleratus</w:t>
      </w:r>
      <w:proofErr w:type="spellEnd"/>
      <w:r w:rsidRPr="00D64F1A">
        <w:rPr>
          <w:rFonts w:asciiTheme="majorBidi" w:hAnsiTheme="majorBidi" w:cstheme="majorBidi"/>
          <w:i/>
          <w:iCs/>
        </w:rPr>
        <w:t xml:space="preserve"> </w:t>
      </w:r>
      <w:r w:rsidRPr="00D64F1A">
        <w:rPr>
          <w:rFonts w:asciiTheme="majorBidi" w:hAnsiTheme="majorBidi" w:cstheme="majorBidi"/>
        </w:rPr>
        <w:t xml:space="preserve">from </w:t>
      </w:r>
      <w:r>
        <w:rPr>
          <w:rFonts w:asciiTheme="majorBidi" w:hAnsiTheme="majorBidi" w:cstheme="majorBidi"/>
        </w:rPr>
        <w:t>M</w:t>
      </w:r>
      <w:r w:rsidRPr="00D64F1A">
        <w:rPr>
          <w:rFonts w:asciiTheme="majorBidi" w:hAnsiTheme="majorBidi" w:cstheme="majorBidi"/>
        </w:rPr>
        <w:t>editerranean sea, Egypt.</w:t>
      </w:r>
    </w:p>
    <w:p w:rsidR="00FA43BA" w:rsidRDefault="00FA43BA" w:rsidP="00FA43B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7048BD82" wp14:editId="319B0722">
            <wp:extent cx="5486400" cy="239649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3BA" w:rsidRDefault="00FA43BA" w:rsidP="00FA43B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lastRenderedPageBreak/>
        <w:t xml:space="preserve">         </w:t>
      </w:r>
      <w:r w:rsidRPr="004237CB">
        <w:rPr>
          <w:rFonts w:asciiTheme="majorBidi" w:hAnsiTheme="majorBidi" w:cstheme="majorBidi"/>
          <w:b/>
          <w:bCs/>
        </w:rPr>
        <w:t>Figure 7</w:t>
      </w:r>
      <w:r>
        <w:rPr>
          <w:rFonts w:asciiTheme="majorBidi" w:hAnsiTheme="majorBidi" w:cstheme="majorBidi"/>
        </w:rPr>
        <w:t>:</w:t>
      </w:r>
      <w:r w:rsidRPr="00D64F1A">
        <w:rPr>
          <w:rFonts w:asciiTheme="majorBidi" w:hAnsiTheme="majorBidi" w:cstheme="majorBidi"/>
          <w:b/>
          <w:bCs/>
        </w:rPr>
        <w:t xml:space="preserve"> </w:t>
      </w:r>
      <w:r w:rsidRPr="00D64F1A">
        <w:rPr>
          <w:rFonts w:asciiTheme="majorBidi" w:hAnsiTheme="majorBidi" w:cstheme="majorBidi"/>
        </w:rPr>
        <w:t>HPLC analysis of TTX</w:t>
      </w:r>
      <w:r>
        <w:rPr>
          <w:rFonts w:asciiTheme="majorBidi" w:hAnsiTheme="majorBidi" w:cstheme="majorBidi"/>
        </w:rPr>
        <w:t xml:space="preserve"> standard (Authentic TTX)</w:t>
      </w:r>
      <w:r w:rsidRPr="00D64F1A">
        <w:rPr>
          <w:rFonts w:asciiTheme="majorBidi" w:hAnsiTheme="majorBidi" w:cstheme="majorBidi"/>
        </w:rPr>
        <w:t>.</w:t>
      </w:r>
    </w:p>
    <w:p w:rsidR="00FA43BA" w:rsidRDefault="00FA43BA" w:rsidP="00FA43B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:rsidR="00FA43BA" w:rsidRPr="00D64F1A" w:rsidRDefault="00FA43BA" w:rsidP="00FA43BA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noProof/>
        </w:rPr>
        <w:drawing>
          <wp:inline distT="0" distB="0" distL="0" distR="0" wp14:anchorId="236D7434" wp14:editId="390FA1FE">
            <wp:extent cx="3811281" cy="332265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5963" cy="332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3BA" w:rsidRDefault="00FA43BA" w:rsidP="00FA43BA">
      <w:pPr>
        <w:autoSpaceDE w:val="0"/>
        <w:autoSpaceDN w:val="0"/>
        <w:adjustRightInd w:val="0"/>
        <w:spacing w:after="0"/>
        <w:ind w:left="900" w:hanging="900"/>
        <w:rPr>
          <w:rFonts w:asciiTheme="majorBidi" w:hAnsiTheme="majorBidi" w:cstheme="majorBidi"/>
        </w:rPr>
      </w:pPr>
      <w:r w:rsidRPr="004237CB">
        <w:rPr>
          <w:rFonts w:asciiTheme="majorBidi" w:hAnsiTheme="majorBidi" w:cstheme="majorBidi"/>
          <w:b/>
          <w:bCs/>
        </w:rPr>
        <w:t>Figure 8</w:t>
      </w:r>
      <w:r>
        <w:rPr>
          <w:rFonts w:asciiTheme="majorBidi" w:hAnsiTheme="majorBidi" w:cstheme="majorBidi"/>
        </w:rPr>
        <w:t>:</w:t>
      </w:r>
      <w:r w:rsidRPr="00D64F1A">
        <w:rPr>
          <w:rFonts w:asciiTheme="majorBidi" w:hAnsiTheme="majorBidi" w:cstheme="majorBidi"/>
          <w:b/>
          <w:bCs/>
        </w:rPr>
        <w:t xml:space="preserve"> </w:t>
      </w:r>
      <w:r w:rsidRPr="00D64F1A">
        <w:rPr>
          <w:rFonts w:asciiTheme="majorBidi" w:hAnsiTheme="majorBidi" w:cstheme="majorBidi"/>
        </w:rPr>
        <w:t xml:space="preserve">UV absorption spectra of </w:t>
      </w:r>
      <w:r>
        <w:rPr>
          <w:rFonts w:asciiTheme="majorBidi" w:hAnsiTheme="majorBidi" w:cstheme="majorBidi"/>
        </w:rPr>
        <w:t>TTX fraction from liver</w:t>
      </w:r>
      <w:r w:rsidRPr="00D64F1A">
        <w:rPr>
          <w:rFonts w:asciiTheme="majorBidi" w:hAnsiTheme="majorBidi" w:cstheme="majorBidi"/>
        </w:rPr>
        <w:t xml:space="preserve"> of</w:t>
      </w:r>
      <w:r>
        <w:rPr>
          <w:rFonts w:asciiTheme="majorBidi" w:hAnsiTheme="majorBidi" w:cstheme="majorBidi"/>
        </w:rPr>
        <w:t xml:space="preserve"> </w:t>
      </w:r>
      <w:r w:rsidRPr="00D64F1A">
        <w:rPr>
          <w:rFonts w:asciiTheme="majorBidi" w:hAnsiTheme="majorBidi" w:cstheme="majorBidi"/>
        </w:rPr>
        <w:t xml:space="preserve">Puffer fish, </w:t>
      </w:r>
      <w:proofErr w:type="spellStart"/>
      <w:r w:rsidRPr="00D64F1A">
        <w:rPr>
          <w:rFonts w:asciiTheme="majorBidi" w:hAnsiTheme="majorBidi" w:cstheme="majorBidi"/>
          <w:i/>
          <w:iCs/>
        </w:rPr>
        <w:t>Lagocephalus</w:t>
      </w:r>
      <w:proofErr w:type="spellEnd"/>
      <w:r w:rsidRPr="00D64F1A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64F1A">
        <w:rPr>
          <w:rFonts w:asciiTheme="majorBidi" w:hAnsiTheme="majorBidi" w:cstheme="majorBidi"/>
          <w:i/>
          <w:iCs/>
        </w:rPr>
        <w:t>sceleratus</w:t>
      </w:r>
      <w:proofErr w:type="spellEnd"/>
      <w:r w:rsidRPr="00D64F1A">
        <w:rPr>
          <w:rFonts w:asciiTheme="majorBidi" w:hAnsiTheme="majorBidi" w:cstheme="majorBidi"/>
          <w:i/>
          <w:iCs/>
        </w:rPr>
        <w:t xml:space="preserve"> </w:t>
      </w:r>
      <w:r>
        <w:rPr>
          <w:rFonts w:asciiTheme="majorBidi" w:hAnsiTheme="majorBidi" w:cstheme="majorBidi"/>
        </w:rPr>
        <w:t>inhabiting</w:t>
      </w:r>
      <w:r w:rsidRPr="00D64F1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M</w:t>
      </w:r>
      <w:r w:rsidRPr="00D64F1A">
        <w:rPr>
          <w:rFonts w:asciiTheme="majorBidi" w:hAnsiTheme="majorBidi" w:cstheme="majorBidi"/>
        </w:rPr>
        <w:t>editerranean sea, Egypt.</w:t>
      </w:r>
    </w:p>
    <w:p w:rsidR="00FA43BA" w:rsidRPr="00D64F1A" w:rsidRDefault="00FA43BA" w:rsidP="00FA43B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u w:val="single"/>
        </w:rPr>
      </w:pPr>
    </w:p>
    <w:p w:rsidR="00FA43BA" w:rsidRDefault="00FA43BA" w:rsidP="00FA43BA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27C66278" wp14:editId="00BC5D3B">
            <wp:extent cx="3803596" cy="3433207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136" cy="343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3BA" w:rsidRDefault="00FA43BA" w:rsidP="00FA43BA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4237CB">
        <w:rPr>
          <w:rFonts w:asciiTheme="majorBidi" w:hAnsiTheme="majorBidi" w:cstheme="majorBidi"/>
          <w:b/>
          <w:bCs/>
        </w:rPr>
        <w:t>Figure 9</w:t>
      </w:r>
      <w:r>
        <w:rPr>
          <w:rFonts w:asciiTheme="majorBidi" w:hAnsiTheme="majorBidi" w:cstheme="majorBidi"/>
        </w:rPr>
        <w:t>:</w:t>
      </w:r>
      <w:r w:rsidRPr="00D64F1A">
        <w:rPr>
          <w:rFonts w:asciiTheme="majorBidi" w:hAnsiTheme="majorBidi" w:cstheme="majorBidi"/>
          <w:b/>
          <w:bCs/>
        </w:rPr>
        <w:t xml:space="preserve"> </w:t>
      </w:r>
      <w:r w:rsidRPr="00D64F1A">
        <w:rPr>
          <w:rFonts w:asciiTheme="majorBidi" w:hAnsiTheme="majorBidi" w:cstheme="majorBidi"/>
        </w:rPr>
        <w:t>UV absorption spectra of</w:t>
      </w:r>
      <w:r w:rsidRPr="0029369D">
        <w:rPr>
          <w:rFonts w:asciiTheme="majorBidi" w:hAnsiTheme="majorBidi" w:cstheme="majorBidi"/>
        </w:rPr>
        <w:t xml:space="preserve"> </w:t>
      </w:r>
      <w:r w:rsidRPr="00D64F1A">
        <w:rPr>
          <w:rFonts w:asciiTheme="majorBidi" w:hAnsiTheme="majorBidi" w:cstheme="majorBidi"/>
        </w:rPr>
        <w:t>TTX</w:t>
      </w:r>
      <w:r>
        <w:rPr>
          <w:rFonts w:asciiTheme="majorBidi" w:hAnsiTheme="majorBidi" w:cstheme="majorBidi"/>
        </w:rPr>
        <w:t xml:space="preserve"> standard (Authentic TTX)</w:t>
      </w:r>
      <w:r w:rsidRPr="00D64F1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fraction</w:t>
      </w:r>
      <w:r w:rsidRPr="00D64F1A">
        <w:rPr>
          <w:rFonts w:asciiTheme="majorBidi" w:hAnsiTheme="majorBidi" w:cstheme="majorBidi"/>
        </w:rPr>
        <w:t>.</w:t>
      </w:r>
    </w:p>
    <w:p w:rsidR="00F0548F" w:rsidRPr="00FA43BA" w:rsidRDefault="00F0548F" w:rsidP="00FA43BA">
      <w:pPr>
        <w:bidi/>
        <w:rPr>
          <w:rFonts w:hint="cs"/>
        </w:rPr>
      </w:pPr>
    </w:p>
    <w:sectPr w:rsidR="00F0548F" w:rsidRPr="00FA43BA" w:rsidSect="004B07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BA"/>
    <w:rsid w:val="004B0785"/>
    <w:rsid w:val="00F0548F"/>
    <w:rsid w:val="00FA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image" Target="media/image2.png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INves\PP\PP%20E%20tetradotoxin\rlg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INves\PP\PP%20E%20tetradotoxin\rlg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INves\PP\PP%20E%20tetradotoxin\rlg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INves\PP\PP%20E%20tetradotoxin\rlg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INves\PP\PP%20E%20tetradotoxin\rlg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EG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135042517035277E-2"/>
          <c:y val="4.1995352580235304E-2"/>
          <c:w val="0.88520832052558251"/>
          <c:h val="0.657444440048009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Sheet3!$D$4</c:f>
              <c:strCache>
                <c:ptCount val="1"/>
                <c:pt idx="0">
                  <c:v>Liver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dLbls>
            <c:txPr>
              <a:bodyPr/>
              <a:lstStyle/>
              <a:p>
                <a:pPr>
                  <a:defRPr sz="600" b="1"/>
                </a:pPr>
                <a:endParaRPr lang="ar-E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Sheet3!$C$5:$C$8</c:f>
              <c:strCache>
                <c:ptCount val="4"/>
                <c:pt idx="0">
                  <c:v>Staphylococcus aureus</c:v>
                </c:pt>
                <c:pt idx="1">
                  <c:v>Bacillus subtilis</c:v>
                </c:pt>
                <c:pt idx="2">
                  <c:v>Streptococcus agalactiae</c:v>
                </c:pt>
                <c:pt idx="3">
                  <c:v>Enterococcus faecalis</c:v>
                </c:pt>
              </c:strCache>
            </c:strRef>
          </c:cat>
          <c:val>
            <c:numRef>
              <c:f>Sheet3!$D$5:$D$8</c:f>
              <c:numCache>
                <c:formatCode>General</c:formatCode>
                <c:ptCount val="4"/>
                <c:pt idx="0">
                  <c:v>13.83</c:v>
                </c:pt>
                <c:pt idx="1">
                  <c:v>17.510000000000002</c:v>
                </c:pt>
                <c:pt idx="2">
                  <c:v>12.68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Sheet3!$E$4</c:f>
              <c:strCache>
                <c:ptCount val="1"/>
                <c:pt idx="0">
                  <c:v>skin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 algn="ctr">
                    <a:defRPr lang="en-US" sz="6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ar-EG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600" b="1"/>
                </a:pPr>
                <a:endParaRPr lang="ar-E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Sheet3!$C$5:$C$8</c:f>
              <c:strCache>
                <c:ptCount val="4"/>
                <c:pt idx="0">
                  <c:v>Staphylococcus aureus</c:v>
                </c:pt>
                <c:pt idx="1">
                  <c:v>Bacillus subtilis</c:v>
                </c:pt>
                <c:pt idx="2">
                  <c:v>Streptococcus agalactiae</c:v>
                </c:pt>
                <c:pt idx="3">
                  <c:v>Enterococcus faecalis</c:v>
                </c:pt>
              </c:strCache>
            </c:strRef>
          </c:cat>
          <c:val>
            <c:numRef>
              <c:f>Sheet3!$E$5:$E$8</c:f>
              <c:numCache>
                <c:formatCode>General</c:formatCode>
                <c:ptCount val="4"/>
                <c:pt idx="0">
                  <c:v>12.75</c:v>
                </c:pt>
                <c:pt idx="1">
                  <c:v>16.27</c:v>
                </c:pt>
                <c:pt idx="2">
                  <c:v>10.84</c:v>
                </c:pt>
                <c:pt idx="3">
                  <c:v>19.05</c:v>
                </c:pt>
              </c:numCache>
            </c:numRef>
          </c:val>
        </c:ser>
        <c:ser>
          <c:idx val="2"/>
          <c:order val="2"/>
          <c:tx>
            <c:strRef>
              <c:f>Sheet3!$F$4</c:f>
              <c:strCache>
                <c:ptCount val="1"/>
                <c:pt idx="0">
                  <c:v>muscle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600" b="1"/>
                </a:pPr>
                <a:endParaRPr lang="ar-E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Sheet3!$C$5:$C$8</c:f>
              <c:strCache>
                <c:ptCount val="4"/>
                <c:pt idx="0">
                  <c:v>Staphylococcus aureus</c:v>
                </c:pt>
                <c:pt idx="1">
                  <c:v>Bacillus subtilis</c:v>
                </c:pt>
                <c:pt idx="2">
                  <c:v>Streptococcus agalactiae</c:v>
                </c:pt>
                <c:pt idx="3">
                  <c:v>Enterococcus faecalis</c:v>
                </c:pt>
              </c:strCache>
            </c:strRef>
          </c:cat>
          <c:val>
            <c:numRef>
              <c:f>Sheet3!$F$5:$F$8</c:f>
              <c:numCache>
                <c:formatCode>General</c:formatCode>
                <c:ptCount val="4"/>
                <c:pt idx="0">
                  <c:v>11.3</c:v>
                </c:pt>
                <c:pt idx="1">
                  <c:v>15.28</c:v>
                </c:pt>
                <c:pt idx="2">
                  <c:v>11.44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Sheet3!$G$4</c:f>
              <c:strCache>
                <c:ptCount val="1"/>
                <c:pt idx="0">
                  <c:v>Standard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600" b="1"/>
                </a:pPr>
                <a:endParaRPr lang="ar-E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Sheet3!$C$5:$C$8</c:f>
              <c:strCache>
                <c:ptCount val="4"/>
                <c:pt idx="0">
                  <c:v>Staphylococcus aureus</c:v>
                </c:pt>
                <c:pt idx="1">
                  <c:v>Bacillus subtilis</c:v>
                </c:pt>
                <c:pt idx="2">
                  <c:v>Streptococcus agalactiae</c:v>
                </c:pt>
                <c:pt idx="3">
                  <c:v>Enterococcus faecalis</c:v>
                </c:pt>
              </c:strCache>
            </c:strRef>
          </c:cat>
          <c:val>
            <c:numRef>
              <c:f>Sheet3!$G$5:$G$8</c:f>
              <c:numCache>
                <c:formatCode>General</c:formatCode>
                <c:ptCount val="4"/>
                <c:pt idx="0">
                  <c:v>15.5</c:v>
                </c:pt>
                <c:pt idx="1">
                  <c:v>18.82</c:v>
                </c:pt>
                <c:pt idx="2">
                  <c:v>13.64</c:v>
                </c:pt>
                <c:pt idx="3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0583552"/>
        <c:axId val="210585472"/>
      </c:barChart>
      <c:catAx>
        <c:axId val="2105835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00"/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Gram Positive Bacteria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majorTickMark val="out"/>
        <c:minorTickMark val="none"/>
        <c:tickLblPos val="nextTo"/>
        <c:txPr>
          <a:bodyPr rot="-5400000" vert="horz"/>
          <a:lstStyle/>
          <a:p>
            <a:pPr>
              <a:defRPr b="0" i="1" baseline="0">
                <a:latin typeface="Times New Roman" pitchFamily="18" charset="0"/>
                <a:cs typeface="Times New Roman" pitchFamily="18" charset="0"/>
              </a:defRPr>
            </a:pPr>
            <a:endParaRPr lang="ar-EG"/>
          </a:p>
        </c:txPr>
        <c:crossAx val="210585472"/>
        <c:crosses val="autoZero"/>
        <c:auto val="1"/>
        <c:lblAlgn val="ctr"/>
        <c:lblOffset val="100"/>
        <c:noMultiLvlLbl val="0"/>
      </c:catAx>
      <c:valAx>
        <c:axId val="210585472"/>
        <c:scaling>
          <c:orientation val="minMax"/>
          <c:max val="6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Zone of Inhibition (mm)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10583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3756075718072237"/>
          <c:y val="1.5093050554610323E-2"/>
          <c:w val="0.46869109782329843"/>
          <c:h val="0.1307785653975297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EG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135042517035277E-2"/>
          <c:y val="4.1995352580235304E-2"/>
          <c:w val="0.88520832052558251"/>
          <c:h val="0.657444440048009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'Sheet3 (2)'!$D$4</c:f>
              <c:strCache>
                <c:ptCount val="1"/>
                <c:pt idx="0">
                  <c:v>Liver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dLbls>
            <c:txPr>
              <a:bodyPr/>
              <a:lstStyle/>
              <a:p>
                <a:pPr>
                  <a:defRPr sz="600" b="1"/>
                </a:pPr>
                <a:endParaRPr lang="ar-E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'Sheet3 (2)'!$C$5:$C$10</c:f>
              <c:strCache>
                <c:ptCount val="6"/>
                <c:pt idx="0">
                  <c:v>Vibiro cholerae</c:v>
                </c:pt>
                <c:pt idx="1">
                  <c:v>Aeromonas veronii</c:v>
                </c:pt>
                <c:pt idx="2">
                  <c:v>Escherichia coli</c:v>
                </c:pt>
                <c:pt idx="3">
                  <c:v>Proteus vulgaris</c:v>
                </c:pt>
                <c:pt idx="4">
                  <c:v>Salmonella typhi</c:v>
                </c:pt>
                <c:pt idx="5">
                  <c:v>Shigella dysenteriae</c:v>
                </c:pt>
              </c:strCache>
            </c:strRef>
          </c:cat>
          <c:val>
            <c:numRef>
              <c:f>'Sheet3 (2)'!$D$5:$D$10</c:f>
              <c:numCache>
                <c:formatCode>General</c:formatCode>
                <c:ptCount val="6"/>
                <c:pt idx="0">
                  <c:v>9.2200000000000006</c:v>
                </c:pt>
                <c:pt idx="1">
                  <c:v>20.49</c:v>
                </c:pt>
                <c:pt idx="2">
                  <c:v>22.24</c:v>
                </c:pt>
                <c:pt idx="3">
                  <c:v>0</c:v>
                </c:pt>
                <c:pt idx="4">
                  <c:v>12.06</c:v>
                </c:pt>
                <c:pt idx="5">
                  <c:v>10</c:v>
                </c:pt>
              </c:numCache>
            </c:numRef>
          </c:val>
        </c:ser>
        <c:ser>
          <c:idx val="1"/>
          <c:order val="1"/>
          <c:tx>
            <c:strRef>
              <c:f>'Sheet3 (2)'!$E$4</c:f>
              <c:strCache>
                <c:ptCount val="1"/>
                <c:pt idx="0">
                  <c:v>skin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 algn="ctr">
                    <a:defRPr lang="en-US" sz="6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ar-EG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600" b="1"/>
                </a:pPr>
                <a:endParaRPr lang="ar-E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'Sheet3 (2)'!$C$5:$C$10</c:f>
              <c:strCache>
                <c:ptCount val="6"/>
                <c:pt idx="0">
                  <c:v>Vibiro cholerae</c:v>
                </c:pt>
                <c:pt idx="1">
                  <c:v>Aeromonas veronii</c:v>
                </c:pt>
                <c:pt idx="2">
                  <c:v>Escherichia coli</c:v>
                </c:pt>
                <c:pt idx="3">
                  <c:v>Proteus vulgaris</c:v>
                </c:pt>
                <c:pt idx="4">
                  <c:v>Salmonella typhi</c:v>
                </c:pt>
                <c:pt idx="5">
                  <c:v>Shigella dysenteriae</c:v>
                </c:pt>
              </c:strCache>
            </c:strRef>
          </c:cat>
          <c:val>
            <c:numRef>
              <c:f>'Sheet3 (2)'!$E$5:$E$10</c:f>
              <c:numCache>
                <c:formatCode>General</c:formatCode>
                <c:ptCount val="6"/>
                <c:pt idx="0">
                  <c:v>8.4499999999999993</c:v>
                </c:pt>
                <c:pt idx="1">
                  <c:v>18.02</c:v>
                </c:pt>
                <c:pt idx="2">
                  <c:v>20.16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'Sheet3 (2)'!$F$4</c:f>
              <c:strCache>
                <c:ptCount val="1"/>
                <c:pt idx="0">
                  <c:v>muscle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600" b="1"/>
                </a:pPr>
                <a:endParaRPr lang="ar-E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'Sheet3 (2)'!$C$5:$C$10</c:f>
              <c:strCache>
                <c:ptCount val="6"/>
                <c:pt idx="0">
                  <c:v>Vibiro cholerae</c:v>
                </c:pt>
                <c:pt idx="1">
                  <c:v>Aeromonas veronii</c:v>
                </c:pt>
                <c:pt idx="2">
                  <c:v>Escherichia coli</c:v>
                </c:pt>
                <c:pt idx="3">
                  <c:v>Proteus vulgaris</c:v>
                </c:pt>
                <c:pt idx="4">
                  <c:v>Salmonella typhi</c:v>
                </c:pt>
                <c:pt idx="5">
                  <c:v>Shigella dysenteriae</c:v>
                </c:pt>
              </c:strCache>
            </c:strRef>
          </c:cat>
          <c:val>
            <c:numRef>
              <c:f>'Sheet3 (2)'!$F$5:$F$10</c:f>
              <c:numCache>
                <c:formatCode>General</c:formatCode>
                <c:ptCount val="6"/>
                <c:pt idx="0">
                  <c:v>8.08</c:v>
                </c:pt>
                <c:pt idx="1">
                  <c:v>19.670000000000002</c:v>
                </c:pt>
                <c:pt idx="2">
                  <c:v>19.16</c:v>
                </c:pt>
                <c:pt idx="3">
                  <c:v>5.74</c:v>
                </c:pt>
                <c:pt idx="4">
                  <c:v>12.68</c:v>
                </c:pt>
                <c:pt idx="5">
                  <c:v>0</c:v>
                </c:pt>
              </c:numCache>
            </c:numRef>
          </c:val>
        </c:ser>
        <c:ser>
          <c:idx val="3"/>
          <c:order val="3"/>
          <c:tx>
            <c:strRef>
              <c:f>'Sheet3 (2)'!$G$4</c:f>
              <c:strCache>
                <c:ptCount val="1"/>
                <c:pt idx="0">
                  <c:v>Standard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600" b="1"/>
                </a:pPr>
                <a:endParaRPr lang="ar-E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'Sheet3 (2)'!$C$5:$C$10</c:f>
              <c:strCache>
                <c:ptCount val="6"/>
                <c:pt idx="0">
                  <c:v>Vibiro cholerae</c:v>
                </c:pt>
                <c:pt idx="1">
                  <c:v>Aeromonas veronii</c:v>
                </c:pt>
                <c:pt idx="2">
                  <c:v>Escherichia coli</c:v>
                </c:pt>
                <c:pt idx="3">
                  <c:v>Proteus vulgaris</c:v>
                </c:pt>
                <c:pt idx="4">
                  <c:v>Salmonella typhi</c:v>
                </c:pt>
                <c:pt idx="5">
                  <c:v>Shigella dysenteriae</c:v>
                </c:pt>
              </c:strCache>
            </c:strRef>
          </c:cat>
          <c:val>
            <c:numRef>
              <c:f>'Sheet3 (2)'!$G$5:$G$10</c:f>
              <c:numCache>
                <c:formatCode>General</c:formatCode>
                <c:ptCount val="6"/>
                <c:pt idx="0">
                  <c:v>10.119999999999999</c:v>
                </c:pt>
                <c:pt idx="1">
                  <c:v>23.23</c:v>
                </c:pt>
                <c:pt idx="2">
                  <c:v>25.53</c:v>
                </c:pt>
                <c:pt idx="3">
                  <c:v>8.9499999999999993</c:v>
                </c:pt>
                <c:pt idx="4">
                  <c:v>14.23</c:v>
                </c:pt>
                <c:pt idx="5">
                  <c:v>13.32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3350656"/>
        <c:axId val="213365120"/>
      </c:barChart>
      <c:catAx>
        <c:axId val="2133506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Gram Negative Bacteria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majorTickMark val="out"/>
        <c:minorTickMark val="none"/>
        <c:tickLblPos val="nextTo"/>
        <c:txPr>
          <a:bodyPr rot="-5400000" vert="horz"/>
          <a:lstStyle/>
          <a:p>
            <a:pPr>
              <a:defRPr b="0" i="1" baseline="0">
                <a:latin typeface="Times New Roman" pitchFamily="18" charset="0"/>
                <a:cs typeface="Times New Roman" pitchFamily="18" charset="0"/>
              </a:defRPr>
            </a:pPr>
            <a:endParaRPr lang="ar-EG"/>
          </a:p>
        </c:txPr>
        <c:crossAx val="213365120"/>
        <c:crosses val="autoZero"/>
        <c:auto val="1"/>
        <c:lblAlgn val="ctr"/>
        <c:lblOffset val="100"/>
        <c:noMultiLvlLbl val="0"/>
      </c:catAx>
      <c:valAx>
        <c:axId val="213365120"/>
        <c:scaling>
          <c:orientation val="minMax"/>
          <c:max val="6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Zone of Inhibition (mm)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133506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3756075718072237"/>
          <c:y val="1.5093050554610323E-2"/>
          <c:w val="0.46869109782329843"/>
          <c:h val="0.1307785653975297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EG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135042517035277E-2"/>
          <c:y val="4.1995352580235304E-2"/>
          <c:w val="0.88520832052558251"/>
          <c:h val="0.657444440048009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'Sheet3 (3)'!$D$4</c:f>
              <c:strCache>
                <c:ptCount val="1"/>
                <c:pt idx="0">
                  <c:v>Liver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dLbls>
            <c:txPr>
              <a:bodyPr/>
              <a:lstStyle/>
              <a:p>
                <a:pPr>
                  <a:defRPr sz="600" b="1"/>
                </a:pPr>
                <a:endParaRPr lang="ar-E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'Sheet3 (3)'!$C$5:$C$7</c:f>
              <c:strCache>
                <c:ptCount val="3"/>
                <c:pt idx="0">
                  <c:v>Candida albicans</c:v>
                </c:pt>
                <c:pt idx="1">
                  <c:v>Aspergillus fumigatus</c:v>
                </c:pt>
                <c:pt idx="2">
                  <c:v>Trichophyton rubrum</c:v>
                </c:pt>
              </c:strCache>
            </c:strRef>
          </c:cat>
          <c:val>
            <c:numRef>
              <c:f>'Sheet3 (3)'!$D$5:$D$7</c:f>
              <c:numCache>
                <c:formatCode>General</c:formatCode>
                <c:ptCount val="3"/>
                <c:pt idx="0">
                  <c:v>12.5</c:v>
                </c:pt>
                <c:pt idx="1">
                  <c:v>19.21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'Sheet3 (3)'!$E$4</c:f>
              <c:strCache>
                <c:ptCount val="1"/>
                <c:pt idx="0">
                  <c:v>skin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 algn="ctr">
                    <a:defRPr lang="en-US" sz="6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ar-EG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600" b="1"/>
                </a:pPr>
                <a:endParaRPr lang="ar-E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'Sheet3 (3)'!$C$5:$C$7</c:f>
              <c:strCache>
                <c:ptCount val="3"/>
                <c:pt idx="0">
                  <c:v>Candida albicans</c:v>
                </c:pt>
                <c:pt idx="1">
                  <c:v>Aspergillus fumigatus</c:v>
                </c:pt>
                <c:pt idx="2">
                  <c:v>Trichophyton rubrum</c:v>
                </c:pt>
              </c:strCache>
            </c:strRef>
          </c:cat>
          <c:val>
            <c:numRef>
              <c:f>'Sheet3 (3)'!$E$5:$E$7</c:f>
              <c:numCache>
                <c:formatCode>General</c:formatCode>
                <c:ptCount val="3"/>
                <c:pt idx="0">
                  <c:v>13.17</c:v>
                </c:pt>
                <c:pt idx="1">
                  <c:v>17.11</c:v>
                </c:pt>
                <c:pt idx="2">
                  <c:v>5.33</c:v>
                </c:pt>
              </c:numCache>
            </c:numRef>
          </c:val>
        </c:ser>
        <c:ser>
          <c:idx val="2"/>
          <c:order val="2"/>
          <c:tx>
            <c:strRef>
              <c:f>'Sheet3 (3)'!$F$4</c:f>
              <c:strCache>
                <c:ptCount val="1"/>
                <c:pt idx="0">
                  <c:v>muscle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600" b="1"/>
                </a:pPr>
                <a:endParaRPr lang="ar-E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'Sheet3 (3)'!$C$5:$C$7</c:f>
              <c:strCache>
                <c:ptCount val="3"/>
                <c:pt idx="0">
                  <c:v>Candida albicans</c:v>
                </c:pt>
                <c:pt idx="1">
                  <c:v>Aspergillus fumigatus</c:v>
                </c:pt>
                <c:pt idx="2">
                  <c:v>Trichophyton rubrum</c:v>
                </c:pt>
              </c:strCache>
            </c:strRef>
          </c:cat>
          <c:val>
            <c:numRef>
              <c:f>'Sheet3 (3)'!$F$5:$F$7</c:f>
              <c:numCache>
                <c:formatCode>General</c:formatCode>
                <c:ptCount val="3"/>
                <c:pt idx="0">
                  <c:v>10.66</c:v>
                </c:pt>
                <c:pt idx="1">
                  <c:v>16.27</c:v>
                </c:pt>
                <c:pt idx="2">
                  <c:v>6.21</c:v>
                </c:pt>
              </c:numCache>
            </c:numRef>
          </c:val>
        </c:ser>
        <c:ser>
          <c:idx val="3"/>
          <c:order val="3"/>
          <c:tx>
            <c:strRef>
              <c:f>'Sheet3 (3)'!$G$4</c:f>
              <c:strCache>
                <c:ptCount val="1"/>
                <c:pt idx="0">
                  <c:v>Standard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600" b="1"/>
                </a:pPr>
                <a:endParaRPr lang="ar-E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'Sheet3 (3)'!$C$5:$C$7</c:f>
              <c:strCache>
                <c:ptCount val="3"/>
                <c:pt idx="0">
                  <c:v>Candida albicans</c:v>
                </c:pt>
                <c:pt idx="1">
                  <c:v>Aspergillus fumigatus</c:v>
                </c:pt>
                <c:pt idx="2">
                  <c:v>Trichophyton rubrum</c:v>
                </c:pt>
              </c:strCache>
            </c:strRef>
          </c:cat>
          <c:val>
            <c:numRef>
              <c:f>'Sheet3 (3)'!$G$5:$G$7</c:f>
              <c:numCache>
                <c:formatCode>General</c:formatCode>
                <c:ptCount val="3"/>
                <c:pt idx="0">
                  <c:v>16.989999999999998</c:v>
                </c:pt>
                <c:pt idx="1">
                  <c:v>21.74</c:v>
                </c:pt>
                <c:pt idx="2">
                  <c:v>9.85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504192"/>
        <c:axId val="214506112"/>
      </c:barChart>
      <c:catAx>
        <c:axId val="2145041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00"/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Tested Fungi Strains</a:t>
                </a:r>
                <a:endParaRPr lang="en-US" sz="90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majorTickMark val="out"/>
        <c:minorTickMark val="none"/>
        <c:tickLblPos val="nextTo"/>
        <c:txPr>
          <a:bodyPr rot="-5400000" vert="horz"/>
          <a:lstStyle/>
          <a:p>
            <a:pPr>
              <a:defRPr b="0" i="1" baseline="0">
                <a:latin typeface="Times New Roman" pitchFamily="18" charset="0"/>
                <a:cs typeface="Times New Roman" pitchFamily="18" charset="0"/>
              </a:defRPr>
            </a:pPr>
            <a:endParaRPr lang="ar-EG"/>
          </a:p>
        </c:txPr>
        <c:crossAx val="214506112"/>
        <c:crosses val="autoZero"/>
        <c:auto val="1"/>
        <c:lblAlgn val="ctr"/>
        <c:lblOffset val="100"/>
        <c:noMultiLvlLbl val="0"/>
      </c:catAx>
      <c:valAx>
        <c:axId val="214506112"/>
        <c:scaling>
          <c:orientation val="minMax"/>
          <c:max val="6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Zone of Inhibition (mm)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145041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3756075718072237"/>
          <c:y val="1.5093050554610323E-2"/>
          <c:w val="0.46869109782329843"/>
          <c:h val="0.1307785653975297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EG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138653878371587"/>
          <c:y val="0.16805225737454987"/>
          <c:w val="0.73953272463282516"/>
          <c:h val="0.61631658814030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Sheet2!$B$3</c:f>
              <c:strCache>
                <c:ptCount val="1"/>
                <c:pt idx="0">
                  <c:v>Winter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ar-E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Sheet2!$C$2:$E$2</c:f>
              <c:strCache>
                <c:ptCount val="3"/>
                <c:pt idx="0">
                  <c:v>Liver</c:v>
                </c:pt>
                <c:pt idx="1">
                  <c:v>skin</c:v>
                </c:pt>
                <c:pt idx="2">
                  <c:v>muscle</c:v>
                </c:pt>
              </c:strCache>
            </c:strRef>
          </c:cat>
          <c:val>
            <c:numRef>
              <c:f>Sheet2!$C$3:$E$3</c:f>
              <c:numCache>
                <c:formatCode>General</c:formatCode>
                <c:ptCount val="3"/>
                <c:pt idx="0">
                  <c:v>25.37</c:v>
                </c:pt>
                <c:pt idx="1">
                  <c:v>1.64</c:v>
                </c:pt>
                <c:pt idx="2">
                  <c:v>0.77</c:v>
                </c:pt>
              </c:numCache>
            </c:numRef>
          </c:val>
        </c:ser>
        <c:ser>
          <c:idx val="1"/>
          <c:order val="1"/>
          <c:tx>
            <c:strRef>
              <c:f>Sheet2!$B$4</c:f>
              <c:strCache>
                <c:ptCount val="1"/>
                <c:pt idx="0">
                  <c:v>Summer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ar-E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Sheet2!$C$2:$E$2</c:f>
              <c:strCache>
                <c:ptCount val="3"/>
                <c:pt idx="0">
                  <c:v>Liver</c:v>
                </c:pt>
                <c:pt idx="1">
                  <c:v>skin</c:v>
                </c:pt>
                <c:pt idx="2">
                  <c:v>muscle</c:v>
                </c:pt>
              </c:strCache>
            </c:strRef>
          </c:cat>
          <c:val>
            <c:numRef>
              <c:f>Sheet2!$C$4:$E$4</c:f>
              <c:numCache>
                <c:formatCode>General</c:formatCode>
                <c:ptCount val="3"/>
                <c:pt idx="0">
                  <c:v>4.04</c:v>
                </c:pt>
                <c:pt idx="1">
                  <c:v>0.35</c:v>
                </c:pt>
                <c:pt idx="2">
                  <c:v>0.66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8345856"/>
        <c:axId val="218347776"/>
      </c:barChart>
      <c:catAx>
        <c:axId val="2183458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 algn="ctr">
                  <a:defRPr sz="1200"/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Tested Organs in Male</a:t>
                </a:r>
              </a:p>
            </c:rich>
          </c:tx>
          <c:layout>
            <c:manualLayout>
              <c:xMode val="edge"/>
              <c:yMode val="edge"/>
              <c:x val="0.34088694365331995"/>
              <c:y val="0.87381898442426709"/>
            </c:manualLayout>
          </c:layout>
          <c:overlay val="0"/>
        </c:title>
        <c:majorTickMark val="out"/>
        <c:minorTickMark val="none"/>
        <c:tickLblPos val="nextTo"/>
        <c:crossAx val="218347776"/>
        <c:crosses val="autoZero"/>
        <c:auto val="1"/>
        <c:lblAlgn val="ctr"/>
        <c:lblOffset val="100"/>
        <c:noMultiLvlLbl val="0"/>
      </c:catAx>
      <c:valAx>
        <c:axId val="21834777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(TTX) Levels (µg/g)</a:t>
                </a:r>
                <a:endParaRPr lang="en-US" sz="900"/>
              </a:p>
            </c:rich>
          </c:tx>
          <c:layout>
            <c:manualLayout>
              <c:xMode val="edge"/>
              <c:yMode val="edge"/>
              <c:x val="8.1645445915005305E-2"/>
              <c:y val="0.2247079201290257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183458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616675741330207"/>
          <c:y val="9.3685207827256239E-3"/>
          <c:w val="0.37988629614728814"/>
          <c:h val="0.1042590647420987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EG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138653878371587"/>
          <c:y val="0.16805225737454987"/>
          <c:w val="0.73953272463282516"/>
          <c:h val="0.61631658814030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'Sheet2 (2)'!$B$3</c:f>
              <c:strCache>
                <c:ptCount val="1"/>
                <c:pt idx="0">
                  <c:v>Winter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ar-E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'Sheet2 (2)'!$C$2:$E$2</c:f>
              <c:strCache>
                <c:ptCount val="3"/>
                <c:pt idx="0">
                  <c:v>Liver</c:v>
                </c:pt>
                <c:pt idx="1">
                  <c:v>skin</c:v>
                </c:pt>
                <c:pt idx="2">
                  <c:v>muscle</c:v>
                </c:pt>
              </c:strCache>
            </c:strRef>
          </c:cat>
          <c:val>
            <c:numRef>
              <c:f>'Sheet2 (2)'!$C$3:$E$3</c:f>
              <c:numCache>
                <c:formatCode>General</c:formatCode>
                <c:ptCount val="3"/>
                <c:pt idx="0">
                  <c:v>30.33</c:v>
                </c:pt>
                <c:pt idx="1">
                  <c:v>3.38</c:v>
                </c:pt>
                <c:pt idx="2">
                  <c:v>2.2599999999999998</c:v>
                </c:pt>
              </c:numCache>
            </c:numRef>
          </c:val>
        </c:ser>
        <c:ser>
          <c:idx val="1"/>
          <c:order val="1"/>
          <c:tx>
            <c:strRef>
              <c:f>'Sheet2 (2)'!$B$4</c:f>
              <c:strCache>
                <c:ptCount val="1"/>
                <c:pt idx="0">
                  <c:v>Summer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ar-E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'Sheet2 (2)'!$C$2:$E$2</c:f>
              <c:strCache>
                <c:ptCount val="3"/>
                <c:pt idx="0">
                  <c:v>Liver</c:v>
                </c:pt>
                <c:pt idx="1">
                  <c:v>skin</c:v>
                </c:pt>
                <c:pt idx="2">
                  <c:v>muscle</c:v>
                </c:pt>
              </c:strCache>
            </c:strRef>
          </c:cat>
          <c:val>
            <c:numRef>
              <c:f>'Sheet2 (2)'!$C$4:$E$4</c:f>
              <c:numCache>
                <c:formatCode>0.00</c:formatCode>
                <c:ptCount val="3"/>
                <c:pt idx="0" formatCode="General">
                  <c:v>21.04</c:v>
                </c:pt>
                <c:pt idx="1">
                  <c:v>1.6</c:v>
                </c:pt>
                <c:pt idx="2">
                  <c:v>1.1000000000000001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0028928"/>
        <c:axId val="220030848"/>
      </c:barChart>
      <c:catAx>
        <c:axId val="2200289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Tested Organs in Female</a:t>
                </a:r>
              </a:p>
            </c:rich>
          </c:tx>
          <c:layout>
            <c:manualLayout>
              <c:xMode val="edge"/>
              <c:yMode val="edge"/>
              <c:x val="0.329805383369632"/>
              <c:y val="0.87824866481759478"/>
            </c:manualLayout>
          </c:layout>
          <c:overlay val="0"/>
        </c:title>
        <c:majorTickMark val="out"/>
        <c:minorTickMark val="none"/>
        <c:tickLblPos val="nextTo"/>
        <c:crossAx val="220030848"/>
        <c:crosses val="autoZero"/>
        <c:auto val="1"/>
        <c:lblAlgn val="ctr"/>
        <c:lblOffset val="100"/>
        <c:noMultiLvlLbl val="0"/>
      </c:catAx>
      <c:valAx>
        <c:axId val="22003084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1200">
                    <a:latin typeface="Times New Roman" pitchFamily="18" charset="0"/>
                    <a:cs typeface="Times New Roman" pitchFamily="18" charset="0"/>
                  </a:rPr>
                  <a:t>(TTX) Levels (µg/g)</a:t>
                </a:r>
                <a:endParaRPr lang="en-US" sz="900"/>
              </a:p>
            </c:rich>
          </c:tx>
          <c:layout>
            <c:manualLayout>
              <c:xMode val="edge"/>
              <c:yMode val="edge"/>
              <c:x val="7.4996509744792536E-2"/>
              <c:y val="0.2114188789490426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200289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616675741330207"/>
          <c:y val="9.3685207827256239E-3"/>
          <c:w val="0.37988629614728814"/>
          <c:h val="0.1042590647420987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</Words>
  <Characters>979</Characters>
  <Application>Microsoft Office Word</Application>
  <DocSecurity>0</DocSecurity>
  <Lines>14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 1</dc:creator>
  <cp:lastModifiedBy>Num 1</cp:lastModifiedBy>
  <cp:revision>1</cp:revision>
  <dcterms:created xsi:type="dcterms:W3CDTF">2019-06-12T14:43:00Z</dcterms:created>
  <dcterms:modified xsi:type="dcterms:W3CDTF">2019-06-12T14:45:00Z</dcterms:modified>
</cp:coreProperties>
</file>